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Theme="minorEastAsia" w:hAnsiTheme="minorEastAsia" w:eastAsiaTheme="minorEastAsia" w:cstheme="minorEastAsia"/>
          <w:b/>
          <w:sz w:val="21"/>
          <w:szCs w:val="21"/>
        </w:rPr>
      </w:pPr>
    </w:p>
    <w:p>
      <w:pPr>
        <w:pageBreakBefore w:val="0"/>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Theme="minorEastAsia" w:hAnsiTheme="minorEastAsia" w:eastAsiaTheme="minorEastAsia" w:cstheme="minorEastAsia"/>
          <w:b/>
          <w:sz w:val="21"/>
          <w:szCs w:val="21"/>
        </w:rPr>
      </w:pPr>
    </w:p>
    <w:p>
      <w:pPr>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b/>
          <w:bCs w:val="0"/>
          <w:sz w:val="72"/>
          <w:szCs w:val="72"/>
          <w:lang w:eastAsia="zh-CN"/>
        </w:rPr>
      </w:pPr>
    </w:p>
    <w:p>
      <w:pPr>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b/>
          <w:bCs w:val="0"/>
          <w:sz w:val="72"/>
          <w:szCs w:val="72"/>
        </w:rPr>
      </w:pPr>
      <w:r>
        <w:rPr>
          <w:rFonts w:hint="eastAsia" w:ascii="黑体" w:hAnsi="黑体" w:eastAsia="黑体" w:cs="黑体"/>
          <w:b/>
          <w:bCs w:val="0"/>
          <w:sz w:val="72"/>
          <w:szCs w:val="72"/>
          <w:lang w:eastAsia="zh-CN"/>
        </w:rPr>
        <w:t>大同市</w:t>
      </w:r>
      <w:r>
        <w:rPr>
          <w:rFonts w:hint="eastAsia" w:ascii="黑体" w:hAnsi="黑体" w:eastAsia="黑体" w:cs="黑体"/>
          <w:b/>
          <w:bCs w:val="0"/>
          <w:sz w:val="72"/>
          <w:szCs w:val="72"/>
        </w:rPr>
        <w:t>科技报告制度</w:t>
      </w:r>
    </w:p>
    <w:p>
      <w:pPr>
        <w:pageBreakBefore w:val="0"/>
        <w:kinsoku/>
        <w:wordWrap/>
        <w:overflowPunct/>
        <w:topLinePunct w:val="0"/>
        <w:autoSpaceDE/>
        <w:autoSpaceDN/>
        <w:bidi w:val="0"/>
        <w:adjustRightInd/>
        <w:snapToGrid/>
        <w:spacing w:before="157" w:beforeLines="50" w:after="157" w:afterLines="50" w:line="240" w:lineRule="auto"/>
        <w:ind w:firstLine="1446" w:firstLineChars="200"/>
        <w:jc w:val="center"/>
        <w:textAlignment w:val="auto"/>
        <w:rPr>
          <w:rFonts w:hint="eastAsia" w:ascii="黑体" w:hAnsi="黑体" w:eastAsia="黑体" w:cs="黑体"/>
          <w:b/>
          <w:bCs w:val="0"/>
          <w:sz w:val="72"/>
          <w:szCs w:val="72"/>
        </w:rPr>
      </w:pPr>
    </w:p>
    <w:p>
      <w:pPr>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b/>
          <w:bCs w:val="0"/>
          <w:sz w:val="72"/>
          <w:szCs w:val="72"/>
        </w:rPr>
      </w:pPr>
      <w:r>
        <w:rPr>
          <w:rFonts w:hint="eastAsia" w:ascii="黑体" w:hAnsi="黑体" w:eastAsia="黑体" w:cs="黑体"/>
          <w:b/>
          <w:bCs w:val="0"/>
          <w:sz w:val="72"/>
          <w:szCs w:val="72"/>
          <w:lang w:eastAsia="zh-CN"/>
        </w:rPr>
        <w:t>建设</w:t>
      </w:r>
      <w:r>
        <w:rPr>
          <w:rFonts w:hint="eastAsia" w:ascii="黑体" w:hAnsi="黑体" w:eastAsia="黑体" w:cs="黑体"/>
          <w:b/>
          <w:bCs w:val="0"/>
          <w:sz w:val="72"/>
          <w:szCs w:val="72"/>
        </w:rPr>
        <w:t>手册</w:t>
      </w:r>
    </w:p>
    <w:p>
      <w:pPr>
        <w:pageBreakBefore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p>
    <w:p>
      <w:pPr>
        <w:pageBreakBefore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p>
    <w:p>
      <w:pPr>
        <w:pageBreakBefore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p>
    <w:p>
      <w:pPr>
        <w:pageBreakBefore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p>
    <w:p>
      <w:pPr>
        <w:pageBreakBefore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p>
    <w:p>
      <w:pPr>
        <w:pageBreakBefore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p>
    <w:p>
      <w:pPr>
        <w:pageBreakBefore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p>
    <w:p>
      <w:pPr>
        <w:pageBreakBefore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p>
    <w:p>
      <w:pPr>
        <w:pageBreakBefore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p>
    <w:p>
      <w:pPr>
        <w:pageBreakBefore w:val="0"/>
        <w:kinsoku/>
        <w:wordWrap/>
        <w:overflowPunct/>
        <w:topLinePunct w:val="0"/>
        <w:autoSpaceDE/>
        <w:autoSpaceDN/>
        <w:bidi w:val="0"/>
        <w:adjustRightInd/>
        <w:snapToGrid/>
        <w:spacing w:before="157" w:beforeLines="50" w:after="157" w:afterLines="50" w:line="240" w:lineRule="auto"/>
        <w:ind w:firstLine="640" w:firstLineChars="200"/>
        <w:jc w:val="center"/>
        <w:textAlignment w:val="auto"/>
        <w:rPr>
          <w:rFonts w:hint="eastAsia" w:ascii="华光标题黑_CNKI" w:hAnsi="华光标题黑_CNKI" w:eastAsia="华光标题黑_CNKI" w:cs="华光标题黑_CNKI"/>
          <w:sz w:val="32"/>
          <w:szCs w:val="32"/>
        </w:rPr>
      </w:pPr>
    </w:p>
    <w:p>
      <w:pPr>
        <w:pageBreakBefore w:val="0"/>
        <w:kinsoku/>
        <w:wordWrap/>
        <w:overflowPunct/>
        <w:topLinePunct w:val="0"/>
        <w:autoSpaceDE/>
        <w:autoSpaceDN/>
        <w:bidi w:val="0"/>
        <w:adjustRightInd/>
        <w:snapToGrid/>
        <w:spacing w:before="157" w:beforeLines="50" w:after="157" w:afterLines="50" w:line="240" w:lineRule="auto"/>
        <w:ind w:firstLine="643" w:firstLineChars="200"/>
        <w:jc w:val="center"/>
        <w:textAlignment w:val="auto"/>
        <w:rPr>
          <w:rFonts w:hint="eastAsia" w:ascii="黑体" w:hAnsi="黑体" w:eastAsia="黑体" w:cs="黑体"/>
          <w:b/>
          <w:bCs w:val="0"/>
          <w:sz w:val="32"/>
          <w:szCs w:val="32"/>
        </w:rPr>
      </w:pPr>
      <w:r>
        <w:rPr>
          <w:rFonts w:hint="eastAsia" w:ascii="黑体" w:hAnsi="黑体" w:eastAsia="黑体" w:cs="黑体"/>
          <w:b/>
          <w:bCs w:val="0"/>
          <w:sz w:val="32"/>
          <w:szCs w:val="32"/>
          <w:lang w:eastAsia="zh-CN"/>
        </w:rPr>
        <w:t>大同市</w:t>
      </w:r>
      <w:r>
        <w:rPr>
          <w:rFonts w:hint="eastAsia" w:ascii="黑体" w:hAnsi="黑体" w:eastAsia="黑体" w:cs="黑体"/>
          <w:b/>
          <w:bCs w:val="0"/>
          <w:sz w:val="32"/>
          <w:szCs w:val="32"/>
        </w:rPr>
        <w:t>科学技术情报研究所</w:t>
      </w:r>
    </w:p>
    <w:p>
      <w:pPr>
        <w:pageBreakBefore w:val="0"/>
        <w:kinsoku/>
        <w:wordWrap/>
        <w:overflowPunct/>
        <w:topLinePunct w:val="0"/>
        <w:autoSpaceDE/>
        <w:autoSpaceDN/>
        <w:bidi w:val="0"/>
        <w:adjustRightInd/>
        <w:snapToGrid/>
        <w:spacing w:before="157" w:beforeLines="50" w:after="157" w:afterLines="50" w:line="240" w:lineRule="auto"/>
        <w:ind w:firstLine="643" w:firstLineChars="200"/>
        <w:jc w:val="center"/>
        <w:textAlignment w:val="auto"/>
        <w:rPr>
          <w:rFonts w:hint="eastAsia" w:ascii="黑体" w:hAnsi="黑体" w:eastAsia="黑体" w:cs="黑体"/>
          <w:b/>
          <w:bCs w:val="0"/>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b/>
          <w:bCs w:val="0"/>
          <w:sz w:val="32"/>
          <w:szCs w:val="32"/>
        </w:rPr>
        <w:t>二零二零年</w:t>
      </w:r>
    </w:p>
    <w:p>
      <w:pPr>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华光标题黑_CNKI" w:hAnsi="华光标题黑_CNKI" w:eastAsia="华光标题黑_CNKI" w:cs="华光标题黑_CNKI"/>
          <w:b/>
          <w:bCs/>
          <w:sz w:val="28"/>
          <w:szCs w:val="28"/>
          <w:lang w:eastAsia="zh-CN"/>
        </w:rPr>
      </w:pPr>
      <w:r>
        <w:rPr>
          <w:rFonts w:hint="eastAsia" w:ascii="黑体" w:hAnsi="黑体" w:eastAsia="黑体" w:cs="黑体"/>
          <w:b/>
          <w:bCs/>
          <w:sz w:val="28"/>
          <w:szCs w:val="28"/>
          <w:lang w:val="en-US" w:eastAsia="zh-CN"/>
        </w:rPr>
        <w:t xml:space="preserve">序  </w:t>
      </w:r>
      <w:r>
        <w:rPr>
          <w:rFonts w:hint="eastAsia" w:ascii="黑体" w:hAnsi="黑体" w:eastAsia="黑体" w:cs="黑体"/>
          <w:b/>
          <w:bCs/>
          <w:sz w:val="28"/>
          <w:szCs w:val="28"/>
          <w:lang w:eastAsia="zh-CN"/>
        </w:rPr>
        <w:t>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十八大以来，科技报告制度的建设在国家层面受到高度重视，中共中央、国务院、科技部、财政部等多部门相继出台了有关政策，明确提出建立国家科技报告制度。</w:t>
      </w:r>
      <w:r>
        <w:rPr>
          <w:rFonts w:hint="eastAsia" w:asciiTheme="minorEastAsia" w:hAnsiTheme="minorEastAsia" w:eastAsiaTheme="minorEastAsia" w:cstheme="minorEastAsia"/>
          <w:color w:val="auto"/>
          <w:sz w:val="21"/>
          <w:szCs w:val="21"/>
          <w:shd w:val="clear" w:color="auto" w:fill="auto"/>
        </w:rPr>
        <w:t>2012年7月中共中央、国务院《关于深化科技体制改革加快国家创新体系建设的意见》，明确提出要加快建立统一的科技报告制度。十八届三中全会通过的《中共中央关于全面深化改革若干重大问题的决定》第13条“深化科技体制改革”中提出“建立创新调查制度和创新报告制度”。2014年国务院《关于改进加强中央财政科研项目和资金管理的若干意见》(国发〔2014〕11号)中第25条明确要求建立国家科技报告制度。</w:t>
      </w:r>
      <w:r>
        <w:rPr>
          <w:rFonts w:hint="eastAsia" w:asciiTheme="minorEastAsia" w:hAnsiTheme="minorEastAsia" w:eastAsiaTheme="minorEastAsia" w:cstheme="minorEastAsia"/>
          <w:sz w:val="21"/>
          <w:szCs w:val="21"/>
          <w:lang w:val="en-US" w:eastAsia="zh-CN"/>
        </w:rPr>
        <w:t>2014年8月，国务院办公厅转发科技部《关于加快建立国家科技报告制度的指导意见》</w:t>
      </w:r>
      <w:r>
        <w:rPr>
          <w:rFonts w:hint="eastAsia" w:asciiTheme="minorEastAsia" w:hAnsiTheme="minorEastAsia" w:eastAsiaTheme="minorEastAsia" w:cstheme="minorEastAsia"/>
          <w:sz w:val="21"/>
          <w:szCs w:val="21"/>
        </w:rPr>
        <w:t>(国</w:t>
      </w:r>
      <w:r>
        <w:rPr>
          <w:rFonts w:hint="eastAsia" w:asciiTheme="minorEastAsia" w:hAnsiTheme="minorEastAsia" w:eastAsiaTheme="minorEastAsia" w:cstheme="minorEastAsia"/>
          <w:sz w:val="21"/>
          <w:szCs w:val="21"/>
          <w:lang w:eastAsia="zh-CN"/>
        </w:rPr>
        <w:t>办</w:t>
      </w:r>
      <w:r>
        <w:rPr>
          <w:rFonts w:hint="eastAsia" w:asciiTheme="minorEastAsia" w:hAnsiTheme="minorEastAsia" w:eastAsiaTheme="minorEastAsia" w:cstheme="minorEastAsia"/>
          <w:sz w:val="21"/>
          <w:szCs w:val="21"/>
        </w:rPr>
        <w:t>发〔2014〕</w:t>
      </w:r>
      <w:r>
        <w:rPr>
          <w:rFonts w:hint="eastAsia" w:asciiTheme="minorEastAsia" w:hAnsiTheme="minorEastAsia" w:eastAsiaTheme="minorEastAsia" w:cstheme="minorEastAsia"/>
          <w:sz w:val="21"/>
          <w:szCs w:val="21"/>
          <w:lang w:val="en-US" w:eastAsia="zh-CN"/>
        </w:rPr>
        <w:t>43</w:t>
      </w:r>
      <w:r>
        <w:rPr>
          <w:rFonts w:hint="eastAsia" w:asciiTheme="minorEastAsia" w:hAnsiTheme="minorEastAsia" w:eastAsiaTheme="minorEastAsia" w:cstheme="minorEastAsia"/>
          <w:sz w:val="21"/>
          <w:szCs w:val="21"/>
        </w:rPr>
        <w:t>号)</w:t>
      </w:r>
      <w:r>
        <w:rPr>
          <w:rFonts w:hint="eastAsia" w:asciiTheme="minorEastAsia" w:hAnsiTheme="minorEastAsia" w:eastAsiaTheme="minorEastAsia" w:cstheme="minorEastAsia"/>
          <w:sz w:val="21"/>
          <w:szCs w:val="21"/>
          <w:lang w:val="en-US" w:eastAsia="zh-CN"/>
        </w:rPr>
        <w:t>，明确了国家科技报告制度建设的总体要求、组织管理机制、主要任务和工作环境，这标志着以服务科技创新为目标的国家科技报告制度在我国正式启动。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2016年2 月16日，山西省科技厅出台了《山西省科技计划（专项、基金等）科技报告管理办法》。2019年11月19日大同市科技局出台了《大同市科技计划（专项、基金等）科技报告管理办法》，将科技报告工作纳入</w:t>
      </w:r>
      <w:r>
        <w:rPr>
          <w:rFonts w:hint="eastAsia" w:asciiTheme="minorEastAsia" w:hAnsiTheme="minorEastAsia" w:eastAsiaTheme="minorEastAsia" w:cstheme="minorEastAsia"/>
          <w:sz w:val="21"/>
          <w:szCs w:val="21"/>
          <w:lang w:eastAsia="zh-CN"/>
        </w:rPr>
        <w:t>到科技计划项目管理流程，明确了职责分工，提出工作要求和共享使用等内容。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立科技报告制度是党中央、国务院部署的深化科技体制改革的重要任务，是一项覆盖面广、利益主体多、综合协调难度大的系统工程。要真正落实，需各地各有关部门的全员动员，更需强化顶层设计，营造良好氛围。受大同市科技局委托，大同市科学技术情报研究所承担全市科技报告制度建设研究，负责大同市科技报告系统建设工作。各项目承担单位应充分履行法律责任，做好科技报告工作。科技计划项目（或课题）负责人要增强撰写科技报告的责任意识，根据项目（或课题）合同或任务书的要求按时保质完成科技报告，并对内容和数据的真实性负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为提升我市科技计划项目负责人的科技报告撰写水平，保证科技报告内容的完整性与形式的规范性，现将有关科技报告的基本知识、撰写标准等内容编制成手册，</w:t>
      </w:r>
      <w:r>
        <w:rPr>
          <w:rFonts w:hint="eastAsia" w:asciiTheme="minorEastAsia" w:hAnsiTheme="minorEastAsia" w:eastAsiaTheme="minorEastAsia" w:cstheme="minorEastAsia"/>
          <w:sz w:val="21"/>
          <w:szCs w:val="21"/>
          <w:lang w:val="en-US" w:eastAsia="zh-CN"/>
        </w:rPr>
        <w:t>以</w:t>
      </w:r>
      <w:r>
        <w:rPr>
          <w:rFonts w:hint="eastAsia" w:asciiTheme="minorEastAsia" w:hAnsiTheme="minorEastAsia" w:eastAsiaTheme="minorEastAsia" w:cstheme="minorEastAsia"/>
          <w:sz w:val="21"/>
          <w:szCs w:val="21"/>
          <w:lang w:eastAsia="zh-CN"/>
        </w:rPr>
        <w:t>更好地推进落实我市科技报告制度工作。</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exact"/>
        <w:ind w:firstLine="420" w:firstLineChars="200"/>
        <w:jc w:val="left"/>
        <w:textAlignment w:val="auto"/>
        <w:rPr>
          <w:rFonts w:hint="eastAsia" w:asciiTheme="minorEastAsia" w:hAnsiTheme="minorEastAsia" w:eastAsiaTheme="minorEastAsia" w:cstheme="minorEastAsia"/>
          <w:sz w:val="21"/>
          <w:szCs w:val="21"/>
        </w:rPr>
        <w:sectPr>
          <w:pgSz w:w="11906" w:h="16838"/>
          <w:pgMar w:top="1440" w:right="1800" w:bottom="1440" w:left="1800" w:header="851" w:footer="992" w:gutter="0"/>
          <w:cols w:space="425" w:num="1"/>
          <w:docGrid w:type="lines" w:linePitch="312" w:charSpace="0"/>
        </w:sectPr>
      </w:pP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before="157" w:beforeLines="50" w:after="157" w:afterLines="50" w:line="48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TOC \o "1-1" \h \z \u </w:instrText>
      </w:r>
      <w:r>
        <w:rPr>
          <w:rFonts w:hint="eastAsia" w:asciiTheme="minorEastAsia" w:hAnsiTheme="minorEastAsia" w:eastAsiaTheme="minorEastAsia" w:cstheme="minorEastAsia"/>
          <w:sz w:val="21"/>
          <w:szCs w:val="21"/>
        </w:rPr>
        <w:fldChar w:fldCharType="separate"/>
      </w:r>
    </w:p>
    <w:sdt>
      <w:sdtPr>
        <w:rPr>
          <w:rFonts w:ascii="宋体" w:hAnsi="宋体" w:eastAsia="宋体" w:cstheme="minorBidi"/>
          <w:kern w:val="2"/>
          <w:sz w:val="21"/>
          <w:szCs w:val="22"/>
          <w:lang w:val="en-US" w:eastAsia="zh-CN" w:bidi="ar-SA"/>
        </w:rPr>
        <w:id w:val="147483225"/>
        <w15:color w:val="DBDBDB"/>
        <w:docPartObj>
          <w:docPartGallery w:val="Table of Contents"/>
          <w:docPartUnique/>
        </w:docPartObj>
      </w:sdtPr>
      <w:sdtEndPr>
        <w:rPr>
          <w:rFonts w:hint="eastAsia" w:asciiTheme="minorHAnsi" w:hAnsiTheme="minorHAnsi" w:eastAsiaTheme="minorEastAsia"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28"/>
              <w:szCs w:val="28"/>
            </w:rPr>
          </w:pPr>
          <w:r>
            <w:rPr>
              <w:rFonts w:hint="eastAsia" w:ascii="黑体" w:hAnsi="黑体" w:eastAsia="黑体" w:cs="黑体"/>
              <w:sz w:val="28"/>
              <w:szCs w:val="28"/>
            </w:rPr>
            <w:t>目录</w:t>
          </w:r>
        </w:p>
        <w:p>
          <w:pPr>
            <w:pStyle w:val="24"/>
            <w:tabs>
              <w:tab w:val="right" w:leader="dot" w:pos="8306"/>
            </w:tabs>
            <w:rPr>
              <w:rFonts w:hint="eastAsia" w:ascii="黑体" w:hAnsi="黑体" w:eastAsia="黑体" w:cs="黑体"/>
              <w:sz w:val="28"/>
              <w:szCs w:val="28"/>
            </w:rPr>
          </w:pPr>
          <w:r>
            <w:rPr>
              <w:rFonts w:hint="eastAsia"/>
            </w:rPr>
            <w:fldChar w:fldCharType="begin"/>
          </w:r>
          <w:r>
            <w:rPr>
              <w:rFonts w:hint="eastAsia"/>
            </w:rPr>
            <w:instrText xml:space="preserve">TOC \o "1-1" \h \u </w:instrText>
          </w:r>
          <w:r>
            <w:rPr>
              <w:rFonts w:hint="eastAsia"/>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_Toc7750 </w:instrText>
          </w:r>
          <w:r>
            <w:rPr>
              <w:rFonts w:hint="eastAsia" w:ascii="黑体" w:hAnsi="黑体" w:eastAsia="黑体" w:cs="黑体"/>
              <w:sz w:val="28"/>
              <w:szCs w:val="28"/>
            </w:rPr>
            <w:fldChar w:fldCharType="separate"/>
          </w:r>
          <w:r>
            <w:rPr>
              <w:rFonts w:hint="eastAsia" w:ascii="黑体" w:hAnsi="黑体" w:eastAsia="黑体" w:cs="黑体"/>
              <w:sz w:val="28"/>
              <w:szCs w:val="28"/>
            </w:rPr>
            <w:t>第一部分  科技报告常识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_Toc7750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24"/>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_Toc26470 </w:instrText>
          </w:r>
          <w:r>
            <w:rPr>
              <w:rFonts w:hint="eastAsia" w:ascii="黑体" w:hAnsi="黑体" w:eastAsia="黑体" w:cs="黑体"/>
              <w:sz w:val="28"/>
              <w:szCs w:val="28"/>
            </w:rPr>
            <w:fldChar w:fldCharType="separate"/>
          </w:r>
          <w:r>
            <w:rPr>
              <w:rFonts w:hint="eastAsia" w:ascii="黑体" w:hAnsi="黑体" w:eastAsia="黑体" w:cs="黑体"/>
              <w:bCs w:val="0"/>
              <w:sz w:val="28"/>
              <w:szCs w:val="28"/>
            </w:rPr>
            <w:t>第二部分  科技报告内容</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_Toc26470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24"/>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_Toc9151 </w:instrText>
          </w:r>
          <w:r>
            <w:rPr>
              <w:rFonts w:hint="eastAsia" w:ascii="黑体" w:hAnsi="黑体" w:eastAsia="黑体" w:cs="黑体"/>
              <w:sz w:val="28"/>
              <w:szCs w:val="28"/>
            </w:rPr>
            <w:fldChar w:fldCharType="separate"/>
          </w:r>
          <w:r>
            <w:rPr>
              <w:rFonts w:hint="eastAsia" w:ascii="黑体" w:hAnsi="黑体" w:eastAsia="黑体" w:cs="黑体"/>
              <w:bCs w:val="0"/>
              <w:sz w:val="28"/>
              <w:szCs w:val="28"/>
            </w:rPr>
            <w:t>第三部分  科技报告格式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_Toc9151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24"/>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_Toc19323 </w:instrText>
          </w:r>
          <w:r>
            <w:rPr>
              <w:rFonts w:hint="eastAsia" w:ascii="黑体" w:hAnsi="黑体" w:eastAsia="黑体" w:cs="黑体"/>
              <w:sz w:val="28"/>
              <w:szCs w:val="28"/>
            </w:rPr>
            <w:fldChar w:fldCharType="separate"/>
          </w:r>
          <w:r>
            <w:rPr>
              <w:rFonts w:hint="eastAsia" w:ascii="黑体" w:hAnsi="黑体" w:eastAsia="黑体" w:cs="黑体"/>
              <w:bCs w:val="0"/>
              <w:sz w:val="28"/>
              <w:szCs w:val="28"/>
            </w:rPr>
            <w:t>第四部分  科技报告呈交</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_Toc19323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24"/>
            <w:tabs>
              <w:tab w:val="right" w:leader="dot" w:pos="8306"/>
            </w:tabs>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_Toc4641 </w:instrText>
          </w:r>
          <w:r>
            <w:rPr>
              <w:rFonts w:hint="eastAsia" w:ascii="黑体" w:hAnsi="黑体" w:eastAsia="黑体" w:cs="黑体"/>
              <w:sz w:val="28"/>
              <w:szCs w:val="28"/>
            </w:rPr>
            <w:fldChar w:fldCharType="separate"/>
          </w:r>
          <w:r>
            <w:rPr>
              <w:rFonts w:hint="eastAsia" w:ascii="黑体" w:hAnsi="黑体" w:eastAsia="黑体" w:cs="黑体"/>
              <w:bCs w:val="0"/>
              <w:sz w:val="28"/>
              <w:szCs w:val="28"/>
            </w:rPr>
            <w:t>第五部分  科技报告共享使用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_Toc4641 </w:instrText>
          </w:r>
          <w:r>
            <w:rPr>
              <w:rFonts w:hint="eastAsia" w:ascii="黑体" w:hAnsi="黑体" w:eastAsia="黑体" w:cs="黑体"/>
              <w:sz w:val="28"/>
              <w:szCs w:val="28"/>
            </w:rPr>
            <w:fldChar w:fldCharType="separate"/>
          </w:r>
          <w:r>
            <w:rPr>
              <w:rFonts w:hint="eastAsia" w:ascii="黑体" w:hAnsi="黑体" w:eastAsia="黑体" w:cs="黑体"/>
              <w:sz w:val="28"/>
              <w:szCs w:val="28"/>
            </w:rPr>
            <w:t>14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rPr>
              <w:rFonts w:hint="eastAsia" w:asciiTheme="minorHAnsi" w:hAnsiTheme="minorHAnsi" w:eastAsiaTheme="minorEastAsia" w:cstheme="minorBidi"/>
              <w:kern w:val="2"/>
              <w:sz w:val="21"/>
              <w:szCs w:val="22"/>
              <w:lang w:val="en-US" w:eastAsia="zh-CN" w:bidi="ar-SA"/>
            </w:rPr>
            <w:sectPr>
              <w:pgSz w:w="11906" w:h="16838"/>
              <w:pgMar w:top="1440" w:right="1800" w:bottom="1440" w:left="1800" w:header="851" w:footer="992" w:gutter="0"/>
              <w:cols w:space="425" w:num="1"/>
              <w:docGrid w:type="lines" w:linePitch="312" w:charSpace="0"/>
            </w:sectPr>
          </w:pPr>
          <w:r>
            <w:rPr>
              <w:rFonts w:hint="eastAsia"/>
            </w:rPr>
            <w:fldChar w:fldCharType="end"/>
          </w:r>
        </w:p>
      </w:sdtContent>
    </w:sdt>
    <w:p>
      <w:pPr>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21"/>
          <w:szCs w:val="21"/>
        </w:rPr>
        <w:fldChar w:fldCharType="end"/>
      </w:r>
      <w:bookmarkStart w:id="0" w:name="_Toc7750"/>
      <w:bookmarkStart w:id="1" w:name="_Toc508093932"/>
      <w:r>
        <w:rPr>
          <w:rFonts w:hint="eastAsia" w:asciiTheme="minorEastAsia" w:hAnsiTheme="minorEastAsia" w:eastAsiaTheme="minorEastAsia" w:cstheme="minorEastAsia"/>
          <w:b/>
          <w:sz w:val="32"/>
          <w:szCs w:val="32"/>
        </w:rPr>
        <w:t>第一部分  科技报告常识</w:t>
      </w:r>
      <w:bookmarkEnd w:id="0"/>
      <w:bookmarkEnd w:id="1"/>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问：什么是科技报告？</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科技报告是科研人员为了描述其所从事的科研、设计、工程、试验和鉴定等活动的过程、进展和结果，按照规定的标准格式编写而成的科技文献。</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问：科技报告有哪些特点？</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一是与科研项目直接相关，内容覆盖面广，技术含量高；二是具有较强的实用性、新颖性、前沿性和时效性；三是编写规范；四是管理严格。</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问：科技报告有哪些类型？</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主要分为专题技术报告、技术进展报告、最终技术报告和组织管理报告。根据科技报告的密级，还可分为公开科技报告、延期公开科技报告、解密科技报告、保密科技报告等。</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问：科技报告有什么作用？</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一是有利于加强科技计划协调衔接，避免科研管理中重复立项，减少财政资金浪费；二是有利于实时地检验科研成果的创新性和真实性；三是有利于广大科研人员共享科技成果，提高后续研究的技术起点，提升研究效率和效益；四是有利于社会大众了解最新科研进展，促进科技成果转化、推广应用，等等。</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问：国家层面对科技报告制度建设有哪些引导和推动？</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2014年9月，国务院办公厅转发科技部《关于加快建立国家科技报告制度的指导意见》（国办发〔2014〕43号），成为国家科技报告制度建设纲领性文件。与此同时，党和国家的一些领导人和科技部领导同志也在不同场合强调了科技报告制度建设的重要性，对我国科技报告制度的建设和发展起到了重要的推动作用。</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问：国家科技报告制度建设取得什么进展？</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科技部于2013年4月在国家科技计划中正式启动科技报告试点工作。2014年3月1日零时，国家科技报告服务系统（</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"http://www.nstrs.cn" </w:instrText>
      </w:r>
      <w:r>
        <w:rPr>
          <w:rFonts w:hint="eastAsia" w:asciiTheme="minorEastAsia" w:hAnsiTheme="minorEastAsia" w:eastAsiaTheme="minorEastAsia" w:cstheme="minorEastAsia"/>
          <w:sz w:val="21"/>
          <w:szCs w:val="21"/>
        </w:rPr>
        <w:fldChar w:fldCharType="separate"/>
      </w:r>
      <w:r>
        <w:rPr>
          <w:rStyle w:val="18"/>
          <w:rFonts w:hint="eastAsia" w:asciiTheme="minorEastAsia" w:hAnsiTheme="minorEastAsia" w:eastAsiaTheme="minorEastAsia" w:cstheme="minorEastAsia"/>
          <w:sz w:val="21"/>
          <w:szCs w:val="21"/>
        </w:rPr>
        <w:t>http://www.nstrs.cn</w:t>
      </w:r>
      <w:r>
        <w:rPr>
          <w:rStyle w:val="18"/>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）正式上线运行，科技报告数量持续增加。目前科技报告制度建设已在全国范围内全面展开。</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问：我省对科技报告制度建设有哪些引导和推动？</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2016年2月，山西省科技厅关于印发《山西省科技计划（专项、基金等）科技报告管理办法》（晋科发〔2016〕26号）的通知，为我省科技报告制度建设提供了政策依据。</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问：我省科技报告工作取得什么进展？</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2016年1月，山西省科学技术情报研究所成立科技报告中心，受科技厅委托负责科技报告的接收、保存、管理和服务工作。2016年6月，山西省科技报告服务系统（http://218.26.228.143:11188/）开通运行。2016年度起省级财政投入为主实施的科技计划（专项、基金等）项目，任务书中明确提出了呈交科技报告的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问：我</w:t>
      </w:r>
      <w:r>
        <w:rPr>
          <w:rFonts w:hint="eastAsia" w:asciiTheme="minorEastAsia" w:hAnsiTheme="minorEastAsia" w:eastAsiaTheme="minorEastAsia" w:cstheme="minorEastAsia"/>
          <w:b/>
          <w:bCs/>
          <w:sz w:val="21"/>
          <w:szCs w:val="21"/>
          <w:lang w:eastAsia="zh-CN"/>
        </w:rPr>
        <w:t>市</w:t>
      </w:r>
      <w:r>
        <w:rPr>
          <w:rFonts w:hint="eastAsia" w:asciiTheme="minorEastAsia" w:hAnsiTheme="minorEastAsia" w:eastAsiaTheme="minorEastAsia" w:cstheme="minorEastAsia"/>
          <w:b/>
          <w:bCs/>
          <w:sz w:val="21"/>
          <w:szCs w:val="21"/>
        </w:rPr>
        <w:t>对科技报告制度建设有哪些引导和推动？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答：</w:t>
      </w: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eastAsia="zh-CN"/>
        </w:rPr>
        <w:t>大同市</w:t>
      </w:r>
      <w:r>
        <w:rPr>
          <w:rFonts w:hint="eastAsia" w:asciiTheme="minorEastAsia" w:hAnsiTheme="minorEastAsia" w:eastAsiaTheme="minorEastAsia" w:cstheme="minorEastAsia"/>
          <w:sz w:val="21"/>
          <w:szCs w:val="21"/>
        </w:rPr>
        <w:t>科技</w:t>
      </w:r>
      <w:r>
        <w:rPr>
          <w:rFonts w:hint="eastAsia" w:asciiTheme="minorEastAsia" w:hAnsiTheme="minorEastAsia" w:eastAsiaTheme="minorEastAsia" w:cstheme="minorEastAsia"/>
          <w:sz w:val="21"/>
          <w:szCs w:val="21"/>
          <w:lang w:eastAsia="zh-CN"/>
        </w:rPr>
        <w:t>局关于印发《大同市科技计划（专项、基金等）科技报告管理办法》（同科发〔2019〕34号）的通知</w:t>
      </w:r>
      <w:r>
        <w:rPr>
          <w:rFonts w:hint="eastAsia" w:asciiTheme="minorEastAsia" w:hAnsiTheme="minorEastAsia" w:eastAsiaTheme="minorEastAsia" w:cstheme="minorEastAsia"/>
          <w:sz w:val="21"/>
          <w:szCs w:val="21"/>
        </w:rPr>
        <w:t>，为我</w:t>
      </w:r>
      <w:r>
        <w:rPr>
          <w:rFonts w:hint="eastAsia" w:asciiTheme="minorEastAsia" w:hAnsiTheme="minorEastAsia" w:eastAsiaTheme="minorEastAsia" w:cstheme="minorEastAsia"/>
          <w:sz w:val="21"/>
          <w:szCs w:val="21"/>
          <w:lang w:eastAsia="zh-CN"/>
        </w:rPr>
        <w:t>市</w:t>
      </w:r>
      <w:r>
        <w:rPr>
          <w:rFonts w:hint="eastAsia" w:asciiTheme="minorEastAsia" w:hAnsiTheme="minorEastAsia" w:eastAsiaTheme="minorEastAsia" w:cstheme="minorEastAsia"/>
          <w:sz w:val="21"/>
          <w:szCs w:val="21"/>
        </w:rPr>
        <w:t>科技报告制度建设提供了政策依据。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问：我</w:t>
      </w:r>
      <w:r>
        <w:rPr>
          <w:rFonts w:hint="eastAsia" w:asciiTheme="minorEastAsia" w:hAnsiTheme="minorEastAsia" w:eastAsiaTheme="minorEastAsia" w:cstheme="minorEastAsia"/>
          <w:b/>
          <w:bCs/>
          <w:sz w:val="21"/>
          <w:szCs w:val="21"/>
          <w:lang w:eastAsia="zh-CN"/>
        </w:rPr>
        <w:t>市</w:t>
      </w:r>
      <w:r>
        <w:rPr>
          <w:rFonts w:hint="eastAsia" w:asciiTheme="minorEastAsia" w:hAnsiTheme="minorEastAsia" w:eastAsiaTheme="minorEastAsia" w:cstheme="minorEastAsia"/>
          <w:b/>
          <w:bCs/>
          <w:sz w:val="21"/>
          <w:szCs w:val="21"/>
        </w:rPr>
        <w:t xml:space="preserve">哪几类科技计划需要呈交科技报告？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答：</w:t>
      </w:r>
      <w:r>
        <w:rPr>
          <w:rFonts w:hint="eastAsia" w:asciiTheme="minorEastAsia" w:hAnsiTheme="minorEastAsia" w:eastAsiaTheme="minorEastAsia" w:cstheme="minorEastAsia"/>
          <w:sz w:val="21"/>
          <w:szCs w:val="21"/>
        </w:rPr>
        <w:t>按照《</w:t>
      </w:r>
      <w:r>
        <w:rPr>
          <w:rFonts w:hint="eastAsia" w:asciiTheme="minorEastAsia" w:hAnsiTheme="minorEastAsia" w:eastAsiaTheme="minorEastAsia" w:cstheme="minorEastAsia"/>
          <w:sz w:val="21"/>
          <w:szCs w:val="21"/>
          <w:lang w:eastAsia="zh-CN"/>
        </w:rPr>
        <w:t>大同市科技计划（专项、基金等）科技报告管理办法</w:t>
      </w:r>
      <w:r>
        <w:rPr>
          <w:rFonts w:hint="eastAsia" w:asciiTheme="minorEastAsia" w:hAnsiTheme="minorEastAsia" w:eastAsiaTheme="minorEastAsia" w:cstheme="minorEastAsia"/>
          <w:sz w:val="21"/>
          <w:szCs w:val="21"/>
        </w:rPr>
        <w:t>》的规定，以市级财政投入为主实施的科技计划（专项、基金等）项目（课题）都要求呈交科技报告。</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问：科技报告如何实现交流共享和利用？</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科技报告中心将合格的科技报告上传至</w:t>
      </w:r>
      <w:r>
        <w:rPr>
          <w:rFonts w:hint="eastAsia" w:asciiTheme="minorEastAsia" w:hAnsiTheme="minorEastAsia" w:eastAsiaTheme="minorEastAsia" w:cstheme="minorEastAsia"/>
          <w:sz w:val="21"/>
          <w:szCs w:val="21"/>
          <w:lang w:eastAsia="zh-CN"/>
        </w:rPr>
        <w:t>大同市</w:t>
      </w:r>
      <w:r>
        <w:rPr>
          <w:rFonts w:hint="eastAsia" w:asciiTheme="minorEastAsia" w:hAnsiTheme="minorEastAsia" w:eastAsiaTheme="minorEastAsia" w:cstheme="minorEastAsia"/>
          <w:sz w:val="21"/>
          <w:szCs w:val="21"/>
        </w:rPr>
        <w:t>科技报告服务系统，社会公众可浏览科技报告摘要和基本信息，实名注册后可浏览公开科技报告的全文，方便全社会对科技成果的共享和利用。</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问：项目承担单位应履行什么职责？</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lang w:eastAsia="zh-CN"/>
        </w:rPr>
        <w:t>大同市</w:t>
      </w:r>
      <w:r>
        <w:rPr>
          <w:rFonts w:hint="eastAsia" w:asciiTheme="minorEastAsia" w:hAnsiTheme="minorEastAsia" w:eastAsiaTheme="minorEastAsia" w:cstheme="minorEastAsia"/>
          <w:sz w:val="21"/>
          <w:szCs w:val="21"/>
        </w:rPr>
        <w:t>科技计划（专项、基金等）项目（课题）承担单位应充分履行法人责任，切实做好本单位的科技报告工作，主要职责是：</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（1）将科技报告工作纳入本单位科研管理程序，指定专人负责本单位科技报告工作，并提供必要的条件保障；</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（2）督促项目（课题）负责人按要求组织科研人员撰写科技报告，统筹协调项目（课题）各参与单位共同推进科技报告工作；</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（3）负责本单位所承担项目（课题）的科技报告审查和呈交工作。</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问：项目（课题）负责人应履行什么职责？</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项目（课题）负责人按照合同或计划任务书要求和相关标准规范组织科研人员撰写科技报告，标注使用级别，或提出密级建议，</w:t>
      </w:r>
      <w:r>
        <w:rPr>
          <w:rFonts w:hint="eastAsia" w:asciiTheme="minorEastAsia" w:hAnsiTheme="minorEastAsia" w:eastAsiaTheme="minorEastAsia" w:cstheme="minorEastAsia"/>
          <w:color w:val="000000"/>
          <w:kern w:val="0"/>
          <w:sz w:val="21"/>
          <w:szCs w:val="21"/>
        </w:rPr>
        <w:t>完成科技报告的自审和呈交工作，确保科技报告质量。</w:t>
      </w:r>
    </w:p>
    <w:p>
      <w:pPr>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pPr>
        <w:pStyle w:val="2"/>
        <w:pageBreakBefore w:val="0"/>
        <w:widowControl w:val="0"/>
        <w:kinsoku/>
        <w:wordWrap/>
        <w:overflowPunct/>
        <w:topLinePunct w:val="0"/>
        <w:autoSpaceDE/>
        <w:autoSpaceDN/>
        <w:bidi w:val="0"/>
        <w:adjustRightInd/>
        <w:snapToGrid/>
        <w:spacing w:before="157" w:beforeLines="50" w:after="157" w:afterLines="50" w:line="360" w:lineRule="exact"/>
        <w:ind w:firstLine="643" w:firstLineChars="200"/>
        <w:textAlignment w:val="auto"/>
        <w:rPr>
          <w:rFonts w:hint="eastAsia" w:asciiTheme="minorEastAsia" w:hAnsiTheme="minorEastAsia" w:eastAsiaTheme="minorEastAsia" w:cstheme="minorEastAsia"/>
          <w:b/>
          <w:bCs w:val="0"/>
          <w:sz w:val="32"/>
          <w:szCs w:val="32"/>
        </w:rPr>
      </w:pPr>
      <w:bookmarkStart w:id="2" w:name="_Toc508093933"/>
      <w:bookmarkStart w:id="3" w:name="_Toc26470"/>
      <w:r>
        <w:rPr>
          <w:rFonts w:hint="eastAsia" w:asciiTheme="minorEastAsia" w:hAnsiTheme="minorEastAsia" w:eastAsiaTheme="minorEastAsia" w:cstheme="minorEastAsia"/>
          <w:b/>
          <w:bCs w:val="0"/>
          <w:sz w:val="32"/>
          <w:szCs w:val="32"/>
        </w:rPr>
        <w:t>第二部分  科技报告内容</w:t>
      </w:r>
      <w:bookmarkEnd w:id="2"/>
      <w:bookmarkEnd w:id="3"/>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问：科技报告编写的标准规范有哪些？</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科技报告编写要严格遵循国家标准化管理委员会颁布的四项国家标准：《科技报告保密等级代码与标识》、《科学技术报告编号规则》、《科学技术报告编写规则》、《科技报告元数据规范》。</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问：科技报告编写有什么要求？</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科技报告须按照科技论文的体例撰写，符合论文结构的基本要求：一要中心突出，二要层次清晰，三要完整严密。</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问：科技报告的内容有哪些要求？</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科技报告要求针对研究对象、研究过程、研究方法和研究结果进行描述，内容要求完整、真实、准确、易读，有一定的技术含量和保存利用价值。</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问：科技报告明确不包括哪些内容？</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科技报告全文不可出现本项目或本课题任务完成情况等内容，不可出现组织管理和成果等信息。</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问：科技报告规范的构成元素有哪些？</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科技报告必须包括以下部分：封面、信息表、摘要、目次和引言、主体、结论。</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问：如何保证科技报告内容合格规范？</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首先，科技报告必须参照任务书中的主要研究内容（任务），针对各个技术点（研究任务/内容），自拟标题，按照研究流程或技术点分章节论述。</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其次，应完整描述研究工作的基本理论、研究假设、研究方法、试验/实验方法、研究过程等，应对使用到的关键装置、仪表仪器和原材料等进行描述和说明。</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第三，应提供必要的图、表、实验及观察数据等信息。本领域的专业读者依据这些描述应能重复调查研究过程、评议研究结果。</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问：科技报告正文中引言部分有什么要求？</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科技报告引言部分可以“引言”为标题，也可以“研究概述”为标题。若以“引言”为标题，则引言不编号，引言下面不设二级标题。引言部分若以“研究概述”为标题，编号为1，作为正文第一章内容，研究概述下可设二级标题。</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问：科技报告的结论部分有什么要求？</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科技报告的结论部分为必备要素，只能以“结论”或者“结论与建议”作为章标题。结论下不设二级标题。如果不能得出结论，也应该有结论部分，可以进行必要的讨论，还可以对下一步的工作设想、未来的研究活动、存在的问题及解决办法等提出一系列的行动建议。</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问：科技报告关于附录有哪些要求？</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科技报告附录是对正文的辅助材料和补充内容，是对本专业同行具有参考价值的材料。如有，置于正文后。但不是必备内容。</w:t>
      </w:r>
    </w:p>
    <w:p>
      <w:pPr>
        <w:pStyle w:val="2"/>
        <w:pageBreakBefore w:val="0"/>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sz w:val="21"/>
          <w:szCs w:val="21"/>
        </w:rPr>
        <w:br w:type="page"/>
      </w:r>
      <w:bookmarkStart w:id="4" w:name="_Toc9151"/>
      <w:bookmarkStart w:id="5" w:name="_Toc508093934"/>
      <w:r>
        <w:rPr>
          <w:rFonts w:hint="eastAsia" w:asciiTheme="minorEastAsia" w:hAnsiTheme="minorEastAsia" w:eastAsiaTheme="minorEastAsia" w:cstheme="minorEastAsia"/>
          <w:b/>
          <w:bCs w:val="0"/>
          <w:sz w:val="32"/>
          <w:szCs w:val="32"/>
        </w:rPr>
        <w:t>第三部分  科技报告格式</w:t>
      </w:r>
      <w:bookmarkEnd w:id="4"/>
      <w:bookmarkEnd w:id="5"/>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问：科技报告的目录（目次）有什么格式要求？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科技报告的目录一般不超过四级，目录内容应包括章节编号、标题和页码。章节编号必须采用阿拉伯数字，引言一般不编号，主体部分章节从1开始编号。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“目录”两字用三号黑体，居中。目录内容用word中“插入目录”功能自动生成，五号宋体，1.5倍行距。（注：本文所述格式操作介绍以word2007版本为准。）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参考文献、附录也要列入目次。参考文献不编号。附录单独编号，附录中章节不列入目次。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目次和插图附表清单页码用大写罗马数字Ⅰ、Ⅱ、Ⅲ……编号，正文开始页码使用阿拉伯数字1、2、3……编号，参考文献页码沿用正文页码。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问：科技报告的目录（目次）如何自动生成？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（1）在科技报告正文中将一、二、三级标题分别定义为Word中“开始”--“样式”内的“标题1”、“标题2”、“标题3”。</w:t>
      </w:r>
    </w:p>
    <w:p>
      <w:pPr>
        <w:pageBreakBefore w:val="0"/>
        <w:kinsoku/>
        <w:wordWrap/>
        <w:overflowPunct/>
        <w:topLinePunct w:val="0"/>
        <w:autoSpaceDE/>
        <w:autoSpaceDN/>
        <w:bidi w:val="0"/>
        <w:adjustRightInd/>
        <w:snapToGrid/>
        <w:spacing w:before="157" w:beforeLines="50" w:after="157" w:afterLines="50" w:line="240" w:lineRule="auto"/>
        <w:ind w:leftChars="-337" w:firstLine="420" w:firstLineChars="2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0" distR="0">
            <wp:extent cx="6184265" cy="1830070"/>
            <wp:effectExtent l="0" t="0" r="6985"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6" cstate="print"/>
                    <a:srcRect/>
                    <a:stretch>
                      <a:fillRect/>
                    </a:stretch>
                  </pic:blipFill>
                  <pic:spPr>
                    <a:xfrm>
                      <a:off x="0" y="0"/>
                      <a:ext cx="6184730" cy="1830070"/>
                    </a:xfrm>
                    <a:prstGeom prst="rect">
                      <a:avLst/>
                    </a:prstGeom>
                    <a:noFill/>
                    <a:ln w="9525">
                      <a:noFill/>
                      <a:miter lim="800000"/>
                      <a:headEnd/>
                      <a:tailEnd/>
                    </a:ln>
                  </pic:spPr>
                </pic:pic>
              </a:graphicData>
            </a:graphic>
          </wp:inline>
        </w:drawing>
      </w:r>
    </w:p>
    <w:p>
      <w:pPr>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（2）在Word“引用”--“目录”--“插入目录”中选择“格式”为“正式”，“级别”为“3”（若只需要制作2级目录，则“级别”选择2）。</w:t>
      </w:r>
    </w:p>
    <w:p>
      <w:pPr>
        <w:pageBreakBefore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0" distR="0">
            <wp:extent cx="3499485" cy="4396740"/>
            <wp:effectExtent l="19050" t="0" r="5568" b="0"/>
            <wp:docPr id="4" name="图片 3" descr="目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目录.png"/>
                    <pic:cNvPicPr>
                      <a:picLocks noChangeAspect="1"/>
                    </pic:cNvPicPr>
                  </pic:nvPicPr>
                  <pic:blipFill>
                    <a:blip r:embed="rId7" cstate="print"/>
                    <a:stretch>
                      <a:fillRect/>
                    </a:stretch>
                  </pic:blipFill>
                  <pic:spPr>
                    <a:xfrm>
                      <a:off x="0" y="0"/>
                      <a:ext cx="3500496" cy="4397826"/>
                    </a:xfrm>
                    <a:prstGeom prst="rect">
                      <a:avLst/>
                    </a:prstGeom>
                  </pic:spPr>
                </pic:pic>
              </a:graphicData>
            </a:graphic>
          </wp:inline>
        </w:drawing>
      </w:r>
    </w:p>
    <w:p>
      <w:pPr>
        <w:pageBreakBefore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p>
    <w:p>
      <w:pPr>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0" distR="0">
            <wp:extent cx="3821430" cy="3078480"/>
            <wp:effectExtent l="19050" t="0" r="7620" b="0"/>
            <wp:docPr id="5" name="图片 4" descr="目录级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目录级别.png"/>
                    <pic:cNvPicPr>
                      <a:picLocks noChangeAspect="1"/>
                    </pic:cNvPicPr>
                  </pic:nvPicPr>
                  <pic:blipFill>
                    <a:blip r:embed="rId8" cstate="print"/>
                    <a:stretch>
                      <a:fillRect/>
                    </a:stretch>
                  </pic:blipFill>
                  <pic:spPr>
                    <a:xfrm>
                      <a:off x="0" y="0"/>
                      <a:ext cx="3826968" cy="3082941"/>
                    </a:xfrm>
                    <a:prstGeom prst="rect">
                      <a:avLst/>
                    </a:prstGeom>
                  </pic:spPr>
                </pic:pic>
              </a:graphicData>
            </a:graphic>
          </wp:inline>
        </w:drawing>
      </w:r>
      <w:r>
        <w:rPr>
          <w:rFonts w:hint="eastAsia" w:asciiTheme="minorEastAsia" w:hAnsiTheme="minorEastAsia" w:eastAsiaTheme="minorEastAsia" w:cstheme="minorEastAsia"/>
          <w:sz w:val="21"/>
          <w:szCs w:val="21"/>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问：科技报告的图表清单是什么格式？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“插图清单”、“附表清单”八个字三号黑体，居中。插图、附表清单内容五号宋体，1.5倍行距。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图表编号与图表标题中间空一个字符。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正文中图表标题和编号必须使用word中“插入题注”生成，插图清单、附表清单必须使用word中“插入图表目录”自动生成。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技报告中插图和附表多于5个时，应编制插图清单和附表清单。清单应列出图表序号、图表标题和页码。位置在目录（目次）之后另起页。插图清单在前、附表清单在后。图多表少、表多图少，可将图表合在一起改为“图表清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文中图、表等一律用阿拉伯数字分别依序连续编号。章节较多同时图表较多时，图、表、公式也可以分章或篇依序分别连续编号，即前一数字为章、篇的编号，后一数字为本章、篇内的顺序号，两数字间用半字线连接。如：图2-1，表3-1，式（3-1）等。全文编号方式须统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问：科技报告的图表清单如何自动生成？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（1）以Word中“引用”--“题注”--“插入题注”方式为图（表）自动编号（注：图和表应分别连续编号，如图1，图2，表1，表2，不能笼统编号为图表1，图表2……）。</w:t>
      </w:r>
    </w:p>
    <w:p>
      <w:pPr>
        <w:pageBreakBefore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0" distR="0">
            <wp:extent cx="5223510" cy="3218815"/>
            <wp:effectExtent l="0" t="0" r="15240" b="635"/>
            <wp:docPr id="2" name="图片 1" descr="插入题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插入题注.png"/>
                    <pic:cNvPicPr>
                      <a:picLocks noChangeAspect="1"/>
                    </pic:cNvPicPr>
                  </pic:nvPicPr>
                  <pic:blipFill>
                    <a:blip r:embed="rId9" cstate="print"/>
                    <a:stretch>
                      <a:fillRect/>
                    </a:stretch>
                  </pic:blipFill>
                  <pic:spPr>
                    <a:xfrm>
                      <a:off x="0" y="0"/>
                      <a:ext cx="5223510" cy="32188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图编号时，“插入题注”对话框内“标签”一栏选择“图”（如没有此标签，选择“新建标签”--“图”），为表编号时，“插入题注”对话框内“标签”一栏选择“表”（如没有此标签，选择“新建标签”--“表”）。</w:t>
      </w:r>
    </w:p>
    <w:p>
      <w:pPr>
        <w:pageBreakBefore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0" distR="0">
            <wp:extent cx="4606925" cy="3154680"/>
            <wp:effectExtent l="0" t="0" r="3175" b="7620"/>
            <wp:docPr id="6" name="图片 5" descr="插入题注对话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插入题注对话框.png"/>
                    <pic:cNvPicPr>
                      <a:picLocks noChangeAspect="1"/>
                    </pic:cNvPicPr>
                  </pic:nvPicPr>
                  <pic:blipFill>
                    <a:blip r:embed="rId10" cstate="print"/>
                    <a:stretch>
                      <a:fillRect/>
                    </a:stretch>
                  </pic:blipFill>
                  <pic:spPr>
                    <a:xfrm>
                      <a:off x="0" y="0"/>
                      <a:ext cx="4606925" cy="3154680"/>
                    </a:xfrm>
                    <a:prstGeom prst="rect">
                      <a:avLst/>
                    </a:prstGeom>
                  </pic:spPr>
                </pic:pic>
              </a:graphicData>
            </a:graphic>
          </wp:inline>
        </w:drawing>
      </w:r>
    </w:p>
    <w:p>
      <w:pPr>
        <w:pageBreakBefore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0" distR="0">
            <wp:extent cx="3707130" cy="4422775"/>
            <wp:effectExtent l="19050" t="0" r="7620" b="0"/>
            <wp:docPr id="7" name="图片 6" descr="插入题注新建标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插入题注新建标签.png"/>
                    <pic:cNvPicPr>
                      <a:picLocks noChangeAspect="1"/>
                    </pic:cNvPicPr>
                  </pic:nvPicPr>
                  <pic:blipFill>
                    <a:blip r:embed="rId11" cstate="print"/>
                    <a:stretch>
                      <a:fillRect/>
                    </a:stretch>
                  </pic:blipFill>
                  <pic:spPr>
                    <a:xfrm>
                      <a:off x="0" y="0"/>
                      <a:ext cx="3709552" cy="4426234"/>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（2）用Word“引用”--“题注”--“插入图表目录”功能自动生成图表清单，生成插图清单时，“插入图表目录”中，“格式”选择“正文”，“题注标签”选择“图”（若要生成附表清单，选择“表”）。</w:t>
      </w:r>
    </w:p>
    <w:p>
      <w:pPr>
        <w:pageBreakBefore w:val="0"/>
        <w:kinsoku/>
        <w:wordWrap/>
        <w:overflowPunct/>
        <w:topLinePunct w:val="0"/>
        <w:autoSpaceDE/>
        <w:autoSpaceDN/>
        <w:bidi w:val="0"/>
        <w:adjustRightInd/>
        <w:snapToGrid/>
        <w:spacing w:before="157" w:beforeLines="50" w:after="157" w:afterLines="50" w:line="240" w:lineRule="auto"/>
        <w:ind w:firstLine="420" w:firstLineChars="2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0" distR="0">
            <wp:extent cx="3806190" cy="2979420"/>
            <wp:effectExtent l="19050" t="0" r="3810" b="0"/>
            <wp:docPr id="8" name="图片 7" descr="插入图表目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插入图表目录.png"/>
                    <pic:cNvPicPr>
                      <a:picLocks noChangeAspect="1"/>
                    </pic:cNvPicPr>
                  </pic:nvPicPr>
                  <pic:blipFill>
                    <a:blip r:embed="rId12" cstate="print"/>
                    <a:stretch>
                      <a:fillRect/>
                    </a:stretch>
                  </pic:blipFill>
                  <pic:spPr>
                    <a:xfrm>
                      <a:off x="0" y="0"/>
                      <a:ext cx="3808932" cy="2981661"/>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问：科技报告正文有什么格式要求？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科技报告正文中，各级标题用五号黑体，行距1.5，段前段后0，首行不缩进，章节编号后空一个字的间隙书写章节标题。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科技报告正文除标题外所有字体用五号宋体，行距1.5，段前段后0，首行缩进两字符。全文中数字和英文全部为Times</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New</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Roman字体。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问：科技报告正文中图表编号和标题有什么格式要求？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答：图表编号和标题五号黑体，图表编号以“插入题注”方式自动生成，编号后空一个字的间隙书写标题。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图的编号和图题应置于图的下方。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表的编号和表题应置于表的上方。如表转页接排，在随后的各页上应注明“续表X”并注明表题。续表均重复表头。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问：科技报告正文中图表内的文字有什么格式要求？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科技报告的表文小五号宋体，图表的注释（即，图注和表注）为小五号宋体。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问：科技报告正文中图表的图注和表注有什么格式要求？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宜将图上的符号、标记、代码，以及实验条件等，用最简练的文字，作为图注附于图下。图注应置于图题之上。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宜将表中的符号、标记、代码，以及需要说明的事项，用最简练的文字，作为表注附于表下。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问：科技报告参考文献是什么格式？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“参考文献”四字用五号黑体，样式为“标题1”，大纲级别为一级标题，参考文献内容五号宋体。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参考文献置于报告正文部分后面，宜另起页，四字间不留空格。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科技报告中所有引用的文献要列入参考文献中。参考文献引用的标注顺序和参考文献的顺序应一一对应。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参考文献著录格式须统一，参考文献的著录项目和著录格式应符合（GB/T7714-2015）的规定。主要规定如下：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（1）专著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［标引顺序号］作者．书名［Ｍ］．版本（第１版不著录）．出版地：出版社，出版年．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（2）期刊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［标引顺序号］作者．题名［Ｊ］．期刊名，出版年份，卷（期）：起止页码．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（3）报纸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［标引顺序号］作者．题名［Ｎ］．报纸名，出版年－月－日（版次）．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（4）论文集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［标引顺序号］作者．文章题名［Ｇ］//编者．论文集名．出版地：出版社，出版年：起止页码．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（5）国家标准［标引顺序号］标准起草单位．标准名称：标准代号标准顺序号－发布年［Ｓ］．出版地：出版社，出版年：起止页码．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（6）学位论文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［标引顺序号］作者．题名［Ｄ］．保存地：保存者，年份．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（7）专利文献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［标引顺序号］专利申请者或所有者．专利题名：专利号［Ｐ］．公告日期或公开日期．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（8）电子文献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［标引顺序号］作者．题名［ＥＢ/ＯＬ］．（更新或修改日期）［引用日期］.获取和访问路径．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问：科技报告附录的标题有什么格式要求？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附录编号、标题为五号黑体。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附录编号的样式为标题1，大纲级别为一级标题，自动生成目录时只显示附录编号，不显示附录标题。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问：科技报告附录内容的格式有什么要求？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附录内容五号宋体，其他格式参照正文部分。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附录必须有题名，附录标题（题名）置于附录编号之后，与附录编号分行而列，并各占一行，置于附录条文之上居中位置。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多个附录宜用大写拉丁字母依序连续编号，编号置于“附录”两字之后。如：附录A、附录B等。只有一个附录时，也须写作附录A。</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附录中章节的编排格式与正文章节的编排格式相同，但必须在其编号前冠以附录编号。如，附录A中章的编号用A1，A2，A3……表示。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附录中的图、表、公式、参考文献等的编号，应在数字前冠以附录编号，如：图A1；表B2；式（B3）；文献［A5］等。</w:t>
      </w:r>
    </w:p>
    <w:p>
      <w:pPr>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Theme="minorEastAsia" w:hAnsiTheme="minorEastAsia" w:eastAsiaTheme="minorEastAsia" w:cstheme="minorEastAsia"/>
          <w:sz w:val="21"/>
          <w:szCs w:val="21"/>
        </w:rPr>
      </w:pPr>
    </w:p>
    <w:p>
      <w:pPr>
        <w:pageBreakBefore w:val="0"/>
        <w:widowControl/>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pPr>
        <w:pStyle w:val="2"/>
        <w:pageBreakBefore w:val="0"/>
        <w:kinsoku/>
        <w:wordWrap/>
        <w:overflowPunct/>
        <w:topLinePunct w:val="0"/>
        <w:autoSpaceDE/>
        <w:autoSpaceDN/>
        <w:bidi w:val="0"/>
        <w:adjustRightInd/>
        <w:snapToGrid/>
        <w:spacing w:before="157" w:beforeLines="50" w:after="157" w:afterLines="50" w:line="240" w:lineRule="auto"/>
        <w:ind w:firstLine="643" w:firstLineChars="200"/>
        <w:textAlignment w:val="auto"/>
        <w:rPr>
          <w:rFonts w:hint="eastAsia" w:asciiTheme="minorEastAsia" w:hAnsiTheme="minorEastAsia" w:eastAsiaTheme="minorEastAsia" w:cstheme="minorEastAsia"/>
          <w:b/>
          <w:bCs w:val="0"/>
          <w:sz w:val="32"/>
          <w:szCs w:val="32"/>
        </w:rPr>
      </w:pPr>
      <w:bookmarkStart w:id="6" w:name="_Toc19323"/>
      <w:bookmarkStart w:id="7" w:name="_Toc508093935"/>
      <w:r>
        <w:rPr>
          <w:rFonts w:hint="eastAsia" w:asciiTheme="minorEastAsia" w:hAnsiTheme="minorEastAsia" w:eastAsiaTheme="minorEastAsia" w:cstheme="minorEastAsia"/>
          <w:b/>
          <w:bCs w:val="0"/>
          <w:sz w:val="32"/>
          <w:szCs w:val="32"/>
        </w:rPr>
        <w:t>第四部分  科技报告呈交</w:t>
      </w:r>
      <w:bookmarkEnd w:id="6"/>
      <w:bookmarkEnd w:id="7"/>
    </w:p>
    <w:p>
      <w:pPr>
        <w:pageBreakBefore w:val="0"/>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Theme="minorEastAsia" w:hAnsiTheme="minorEastAsia" w:eastAsiaTheme="minorEastAsia" w:cstheme="minorEastAsia"/>
          <w:b/>
          <w:color w:val="auto"/>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问：如何</w:t>
      </w:r>
      <w:r>
        <w:rPr>
          <w:rFonts w:hint="eastAsia" w:asciiTheme="minorEastAsia" w:hAnsiTheme="minorEastAsia" w:eastAsiaTheme="minorEastAsia" w:cstheme="minorEastAsia"/>
          <w:b/>
          <w:color w:val="auto"/>
          <w:sz w:val="21"/>
          <w:szCs w:val="21"/>
          <w:lang w:val="en-US" w:eastAsia="zh-CN"/>
        </w:rPr>
        <w:t>呈交科技报告</w:t>
      </w:r>
      <w:r>
        <w:rPr>
          <w:rFonts w:hint="eastAsia" w:asciiTheme="minorEastAsia" w:hAnsiTheme="minorEastAsia" w:eastAsiaTheme="minorEastAsia" w:cstheme="minorEastAsia"/>
          <w:b/>
          <w:color w:val="auto"/>
          <w:sz w:val="21"/>
          <w:szCs w:val="21"/>
        </w:rPr>
        <w:t>？</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exact"/>
        <w:ind w:firstLine="420" w:firstLineChars="200"/>
        <w:textAlignment w:val="auto"/>
        <w:rPr>
          <w:rFonts w:hint="eastAsia" w:asciiTheme="minorEastAsia" w:hAnsi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rPr>
        <w:t>答：</w:t>
      </w:r>
      <w:r>
        <w:rPr>
          <w:rFonts w:hint="eastAsia"/>
          <w:lang w:val="en-US" w:eastAsia="zh-CN"/>
        </w:rPr>
        <w:t>项目承担单位及项目负责人注册登录</w:t>
      </w:r>
      <w:r>
        <w:rPr>
          <w:rFonts w:hint="eastAsia" w:asciiTheme="minorEastAsia" w:hAnsiTheme="minorEastAsia" w:eastAsiaTheme="minorEastAsia" w:cstheme="minorEastAsia"/>
          <w:b w:val="0"/>
          <w:bCs/>
          <w:color w:val="auto"/>
          <w:sz w:val="21"/>
          <w:szCs w:val="21"/>
          <w:lang w:val="en-US" w:eastAsia="zh-CN"/>
        </w:rPr>
        <w:t>大同市科技</w:t>
      </w:r>
      <w:r>
        <w:rPr>
          <w:rFonts w:hint="eastAsia" w:asciiTheme="minorEastAsia" w:hAnsiTheme="minorEastAsia" w:cstheme="minorEastAsia"/>
          <w:b w:val="0"/>
          <w:bCs/>
          <w:color w:val="auto"/>
          <w:sz w:val="21"/>
          <w:szCs w:val="21"/>
          <w:lang w:val="en-US" w:eastAsia="zh-CN"/>
        </w:rPr>
        <w:t>管理综合服务平台（http://111.53.13.236/），在科技报告功能模块中进行呈交。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问：填写项目基本信息表的注意事项有哪些？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auto"/>
          <w:sz w:val="21"/>
          <w:szCs w:val="21"/>
        </w:rPr>
        <w:t>答：</w:t>
      </w:r>
      <w:r>
        <w:rPr>
          <w:rFonts w:hint="eastAsia" w:asciiTheme="minorEastAsia" w:hAnsiTheme="minorEastAsia" w:eastAsiaTheme="minorEastAsia" w:cstheme="minorEastAsia"/>
          <w:color w:val="000000"/>
          <w:kern w:val="0"/>
          <w:sz w:val="21"/>
          <w:szCs w:val="21"/>
        </w:rPr>
        <w:t>确保项目基本信息表中所填内容与项目计划任务书中内容一致，电子邮箱作为科技报告呈交过程中工作人员和作者的主要联系渠道要填常用邮箱。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问：科技报告类型应该如何选择？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bCs/>
          <w:color w:val="000000"/>
          <w:kern w:val="0"/>
          <w:sz w:val="21"/>
          <w:szCs w:val="21"/>
        </w:rPr>
        <w:t>项目负责人按照项目任务书中科技报告类型和数量的要求，呈交科技报告。一个项目至少需提交一份“最终报告”，在项目结题验收时使用。此外，按照项目任务书要求选交该项目的其它类型科技报告，如立项报告、进展报告、专题报告等，不限数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问：科技报告保密等级中的公开与延期公开如何选择？</w:t>
      </w:r>
    </w:p>
    <w:p>
      <w:pPr>
        <w:keepNext w:val="0"/>
        <w:keepLines w:val="0"/>
        <w:pageBreakBefore w:val="0"/>
        <w:widowControl w:val="0"/>
        <w:tabs>
          <w:tab w:val="left" w:pos="720"/>
        </w:tabs>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color w:val="000000"/>
          <w:kern w:val="0"/>
          <w:sz w:val="21"/>
          <w:szCs w:val="21"/>
        </w:rPr>
        <w:t>涉及单位知识产权和技术秘密的科技报告可设为延期公开，延期公开的年限需要注明，原则上延期年限不得超过5年。需注意，本系统只收录公开与延期公开的非涉密项目，非涉密项目（课题）产生的科技报告如涉及国家安全和重大利益等相关内容，应进行脱密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问：关于科技报告作者的填写有什么规定？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color w:val="000000"/>
          <w:kern w:val="0"/>
          <w:sz w:val="21"/>
          <w:szCs w:val="21"/>
        </w:rPr>
        <w:t>科技报告作者人数和顺序由项目（课题）负责人安排填写。科技报告收录证书有科技报告作者一栏，工作人员将按照系统收录报告中显示的相关信息进行填写制作。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问：组织机构代码如何填写？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color w:val="000000"/>
          <w:kern w:val="0"/>
          <w:sz w:val="21"/>
          <w:szCs w:val="21"/>
        </w:rPr>
        <w:t>项目承担单位使用的统一社会信用代码中第9-17位主体标识码，即组织机构代码。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问：通过系统上传的科技报告正文有什么要求？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color w:val="000000"/>
          <w:kern w:val="0"/>
          <w:sz w:val="21"/>
          <w:szCs w:val="21"/>
        </w:rPr>
        <w:t>上传的科技报告正文文档必须使用微软的Word2010或2010以下的旧版本编写。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问：承诺书有哪些要求？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color w:val="000000"/>
          <w:kern w:val="0"/>
          <w:sz w:val="21"/>
          <w:szCs w:val="21"/>
        </w:rPr>
        <w:t>下载承诺书模板，项目（课题）负责人和科技报告作者签字后，扫描为电子文档（建议JPG或PDF）上传。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color w:val="1F497D" w:themeColor="text2"/>
          <w:sz w:val="21"/>
          <w:szCs w:val="21"/>
          <w14:textFill>
            <w14:solidFill>
              <w14:schemeClr w14:val="tx2"/>
            </w14:solidFill>
          </w14:textFill>
        </w:rPr>
      </w:pPr>
      <w:r>
        <w:rPr>
          <w:rFonts w:hint="eastAsia" w:asciiTheme="minorEastAsia" w:hAnsiTheme="minorEastAsia" w:eastAsiaTheme="minorEastAsia" w:cstheme="minorEastAsia"/>
          <w:b/>
          <w:color w:val="auto"/>
          <w:sz w:val="21"/>
          <w:szCs w:val="21"/>
        </w:rPr>
        <w:t>问：科技报告收录证书如何领取？</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auto"/>
          <w:sz w:val="21"/>
          <w:szCs w:val="21"/>
        </w:rPr>
        <w:t>答：</w:t>
      </w:r>
      <w:r>
        <w:rPr>
          <w:rFonts w:hint="eastAsia" w:asciiTheme="minorEastAsia" w:hAnsiTheme="minorEastAsia" w:eastAsiaTheme="minorEastAsia" w:cstheme="minorEastAsia"/>
          <w:color w:val="000000"/>
          <w:kern w:val="0"/>
          <w:sz w:val="21"/>
          <w:szCs w:val="21"/>
        </w:rPr>
        <w:t>审核合格的科技报告将在</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大同</w:t>
      </w:r>
      <w:r>
        <w:rPr>
          <w:rFonts w:hint="eastAsia" w:asciiTheme="minorEastAsia" w:hAnsiTheme="minorEastAsia" w:eastAsiaTheme="minorEastAsia" w:cstheme="minorEastAsia"/>
          <w:color w:val="000000"/>
          <w:kern w:val="0"/>
          <w:sz w:val="21"/>
          <w:szCs w:val="21"/>
        </w:rPr>
        <w:t>科技报告服务系统</w:t>
      </w:r>
      <w:r>
        <w:rPr>
          <w:rFonts w:hint="eastAsia" w:asciiTheme="minorEastAsia" w:hAnsiTheme="minorEastAsia" w:cstheme="minorEastAsia"/>
          <w:color w:val="000000"/>
          <w:kern w:val="0"/>
          <w:sz w:val="21"/>
          <w:szCs w:val="21"/>
          <w:lang w:eastAsia="zh-CN"/>
        </w:rPr>
        <w:t>（http://111.53.13.236/kjbg/</w:t>
      </w:r>
      <w:bookmarkStart w:id="10" w:name="_GoBack"/>
      <w:bookmarkEnd w:id="10"/>
      <w:r>
        <w:rPr>
          <w:rFonts w:hint="eastAsia" w:asciiTheme="minorEastAsia" w:hAnsi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收录证书一栏公布，报告第一作者实名注册登录，点击请领取，按提示进行操作，之后到科技报告中心领取纸质收录证书。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问：科技报告收录证书有何作用？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auto"/>
          <w:sz w:val="21"/>
          <w:szCs w:val="21"/>
        </w:rPr>
        <w:t>答：</w:t>
      </w:r>
      <w:r>
        <w:rPr>
          <w:rFonts w:hint="eastAsia" w:asciiTheme="minorEastAsia" w:hAnsiTheme="minorEastAsia" w:eastAsiaTheme="minorEastAsia" w:cstheme="minorEastAsia"/>
          <w:color w:val="000000"/>
          <w:kern w:val="0"/>
          <w:sz w:val="21"/>
          <w:szCs w:val="21"/>
        </w:rPr>
        <w:t>科技报告制度是我</w:t>
      </w:r>
      <w:r>
        <w:rPr>
          <w:rFonts w:hint="eastAsia" w:asciiTheme="minorEastAsia" w:hAnsiTheme="minorEastAsia" w:eastAsiaTheme="minorEastAsia" w:cstheme="minorEastAsia"/>
          <w:color w:val="000000"/>
          <w:kern w:val="0"/>
          <w:sz w:val="21"/>
          <w:szCs w:val="21"/>
          <w:lang w:val="en-US" w:eastAsia="zh-CN"/>
        </w:rPr>
        <w:t>市</w:t>
      </w:r>
      <w:r>
        <w:rPr>
          <w:rFonts w:hint="eastAsia" w:asciiTheme="minorEastAsia" w:hAnsiTheme="minorEastAsia" w:eastAsiaTheme="minorEastAsia" w:cstheme="minorEastAsia"/>
          <w:color w:val="000000"/>
          <w:kern w:val="0"/>
          <w:sz w:val="21"/>
          <w:szCs w:val="21"/>
        </w:rPr>
        <w:t>科技创新管理的一项基本制度。科技报告的呈交将作为对项目负责人和承担单位后续滚动支持的重要依据，对未按时按标准要求完成科技报告呈交任务的科技项目，将按不通过验收或不予结题处理。</w:t>
      </w:r>
    </w:p>
    <w:p>
      <w:pPr>
        <w:pageBreakBefore w:val="0"/>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pPr>
        <w:pStyle w:val="2"/>
        <w:pageBreakBefore w:val="0"/>
        <w:widowControl w:val="0"/>
        <w:kinsoku/>
        <w:wordWrap/>
        <w:overflowPunct/>
        <w:topLinePunct w:val="0"/>
        <w:autoSpaceDE/>
        <w:autoSpaceDN/>
        <w:bidi w:val="0"/>
        <w:adjustRightInd/>
        <w:snapToGrid/>
        <w:spacing w:before="157" w:beforeLines="50" w:after="157" w:afterLines="50" w:line="360" w:lineRule="exact"/>
        <w:ind w:firstLine="643" w:firstLineChars="200"/>
        <w:textAlignment w:val="auto"/>
        <w:rPr>
          <w:rFonts w:hint="eastAsia" w:asciiTheme="minorEastAsia" w:hAnsiTheme="minorEastAsia" w:eastAsiaTheme="minorEastAsia" w:cstheme="minorEastAsia"/>
          <w:color w:val="1F497D" w:themeColor="text2"/>
          <w:sz w:val="21"/>
          <w:szCs w:val="21"/>
          <w14:textFill>
            <w14:solidFill>
              <w14:schemeClr w14:val="tx2"/>
            </w14:solidFill>
          </w14:textFill>
        </w:rPr>
      </w:pPr>
      <w:bookmarkStart w:id="8" w:name="_Toc508093936"/>
      <w:bookmarkStart w:id="9" w:name="_Toc4641"/>
      <w:r>
        <w:rPr>
          <w:rFonts w:hint="eastAsia" w:asciiTheme="minorEastAsia" w:hAnsiTheme="minorEastAsia" w:eastAsiaTheme="minorEastAsia" w:cstheme="minorEastAsia"/>
          <w:b/>
          <w:bCs w:val="0"/>
          <w:color w:val="auto"/>
          <w:sz w:val="32"/>
          <w:szCs w:val="32"/>
        </w:rPr>
        <w:t>第五部分  科技报告共享使用</w:t>
      </w:r>
      <w:bookmarkEnd w:id="8"/>
      <w:bookmarkEnd w:id="9"/>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问：“科技报告服务系统”不同身份用户的权限有何不同？</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“科技报告服务系统”设置了“社会公众”、“专业人员”、“管理人员”三种用户身份。社会公众不需要注册，即可通过检索科技报告摘要和基本信息，了解</w:t>
      </w:r>
      <w:r>
        <w:rPr>
          <w:rFonts w:hint="eastAsia" w:asciiTheme="minorEastAsia" w:hAnsiTheme="minorEastAsia" w:cstheme="minorEastAsia"/>
          <w:sz w:val="21"/>
          <w:szCs w:val="21"/>
          <w:lang w:val="en-US" w:eastAsia="zh-CN"/>
        </w:rPr>
        <w:t>大同市</w:t>
      </w:r>
      <w:r>
        <w:rPr>
          <w:rFonts w:hint="eastAsia" w:asciiTheme="minorEastAsia" w:hAnsiTheme="minorEastAsia" w:eastAsiaTheme="minorEastAsia" w:cstheme="minorEastAsia"/>
          <w:sz w:val="21"/>
          <w:szCs w:val="21"/>
        </w:rPr>
        <w:t>科技投入所产出科技报告的基本情况；专业人员需要实名注册，通过身份认证即可检索并在线浏览批准范围内的科技报告全文，不能下载保存全文。管理人员需实名注册，并通过科研管理部门批准后，享有检索、查询、浏览以及批准范围内的相应统计分析等服务。</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问：为何部分科技报告无法在线全文浏览？</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密级设定为“延迟公开”的科技报告，延迟期内系统用户只能浏览其摘要和基本信息。</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问：科技报告的知识产权如何得到保护？</w:t>
      </w:r>
    </w:p>
    <w:p>
      <w:pPr>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b/>
          <w:sz w:val="21"/>
          <w:szCs w:val="21"/>
        </w:rPr>
        <w:t>答：</w:t>
      </w:r>
      <w:r>
        <w:rPr>
          <w:rFonts w:hint="eastAsia" w:asciiTheme="minorEastAsia" w:hAnsiTheme="minorEastAsia" w:eastAsiaTheme="minorEastAsia" w:cstheme="minorEastAsia"/>
          <w:sz w:val="21"/>
          <w:szCs w:val="21"/>
        </w:rPr>
        <w:t>在科技报告的保存和使用中，通过以下方式来协调开放共享与知识产权保护的关系。一是涉及知识产权和技术秘密的科技报告延期公开，参照国内外相关管理制度和通行做法，一般最长延迟5年公开。科研人员可以根据自身情况自行设定延期年限，利用延期公开的时间来申请专利、发表论文或转化科技成果。当科研人员认为已设定的延期年限不足以满足需要时，可以向科技主管部门申请延期；二是在科技报告交流使用过程中，特别是采用网络化服务手段时，对用户实行实名制注册和登录管理，并全程记录用户的使用行为，通过添加水印追踪科技报告的使用情况；三是规范科技报告的使用，在引用科技报告中的思想、观点或原文时，要求在参考文献中注明。在参考或直接使用科技报告中有知识产权或商业秘密权的思路、方法、技术路线等内容时，应征得科技报告权利人的同意或授权，必要时应签订许可协议。四是强化知识产权和学术诚信的管理，并对社会举报的学术抄袭或侵权行为协助处理，确保权益人的合法权益。</w:t>
      </w:r>
    </w:p>
    <w:p>
      <w:pPr>
        <w:pageBreakBefore w:val="0"/>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Theme="minorEastAsia" w:hAnsiTheme="minorEastAsia" w:eastAsiaTheme="minorEastAsia" w:cstheme="minorEastAsia"/>
          <w:b/>
          <w:sz w:val="21"/>
          <w:szCs w:val="21"/>
          <w:lang w:val="en-US" w:eastAsia="zh-CN"/>
        </w:rPr>
      </w:pPr>
    </w:p>
    <w:p>
      <w:pPr>
        <w:pageBreakBefore w:val="0"/>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Theme="minorEastAsia" w:hAnsiTheme="minorEastAsia" w:eastAsiaTheme="minorEastAsia" w:cstheme="minorEastAsia"/>
          <w:b/>
          <w:sz w:val="21"/>
          <w:szCs w:val="21"/>
          <w:lang w:val="en-US" w:eastAsia="zh-CN"/>
        </w:rPr>
      </w:pPr>
    </w:p>
    <w:p>
      <w:pPr>
        <w:pageBreakBefore w:val="0"/>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Theme="minorEastAsia" w:hAnsiTheme="minorEastAsia" w:eastAsiaTheme="minorEastAsia" w:cstheme="minorEastAsia"/>
          <w:b/>
          <w:sz w:val="21"/>
          <w:szCs w:val="21"/>
          <w:lang w:val="en-US" w:eastAsia="zh-CN"/>
        </w:rPr>
      </w:pPr>
    </w:p>
    <w:p>
      <w:pPr>
        <w:pageBreakBefore w:val="0"/>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Theme="minorEastAsia" w:hAnsiTheme="minorEastAsia" w:eastAsiaTheme="minorEastAsia" w:cstheme="minorEastAsia"/>
          <w:b/>
          <w:sz w:val="21"/>
          <w:szCs w:val="21"/>
          <w:lang w:val="en-US" w:eastAsia="zh-CN"/>
        </w:rPr>
      </w:pPr>
    </w:p>
    <w:p>
      <w:pPr>
        <w:pageBreakBefore w:val="0"/>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Theme="minorEastAsia" w:hAnsiTheme="minorEastAsia" w:eastAsiaTheme="minorEastAsia" w:cstheme="minorEastAsia"/>
          <w:b/>
          <w:sz w:val="21"/>
          <w:szCs w:val="21"/>
          <w:lang w:val="en-US" w:eastAsia="zh-CN"/>
        </w:rPr>
      </w:pPr>
    </w:p>
    <w:p>
      <w:pPr>
        <w:pageBreakBefore w:val="0"/>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Theme="minorEastAsia" w:hAnsiTheme="minorEastAsia" w:eastAsiaTheme="minorEastAsia" w:cstheme="minorEastAsia"/>
          <w:b/>
          <w:sz w:val="21"/>
          <w:szCs w:val="21"/>
          <w:lang w:val="en-US" w:eastAsia="zh-CN"/>
        </w:rPr>
      </w:pPr>
    </w:p>
    <w:p>
      <w:pPr>
        <w:pageBreakBefore w:val="0"/>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大同市科技情报研究所关于</w:t>
      </w:r>
      <w:r>
        <w:rPr>
          <w:rFonts w:hint="eastAsia" w:asciiTheme="minorEastAsia" w:hAnsiTheme="minorEastAsia" w:eastAsiaTheme="minorEastAsia" w:cstheme="minorEastAsia"/>
          <w:b/>
          <w:sz w:val="21"/>
          <w:szCs w:val="21"/>
        </w:rPr>
        <w:t>科技报告</w:t>
      </w:r>
      <w:r>
        <w:rPr>
          <w:rFonts w:hint="eastAsia" w:asciiTheme="minorEastAsia" w:hAnsiTheme="minorEastAsia" w:eastAsiaTheme="minorEastAsia" w:cstheme="minorEastAsia"/>
          <w:b/>
          <w:sz w:val="21"/>
          <w:szCs w:val="21"/>
          <w:lang w:val="en-US" w:eastAsia="zh-CN"/>
        </w:rPr>
        <w:t>工作请咨询</w:t>
      </w:r>
      <w:r>
        <w:rPr>
          <w:rFonts w:hint="eastAsia" w:asciiTheme="minorEastAsia" w:hAnsiTheme="minorEastAsia" w:eastAsiaTheme="minorEastAsia" w:cstheme="minorEastAsia"/>
          <w:b/>
          <w:sz w:val="21"/>
          <w:szCs w:val="21"/>
        </w:rPr>
        <w:t>：</w:t>
      </w:r>
    </w:p>
    <w:p>
      <w:pPr>
        <w:pageBreakBefore w:val="0"/>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 035</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5029736-2</w:t>
      </w:r>
    </w:p>
    <w:p>
      <w:pPr>
        <w:pageBreakBefore w:val="0"/>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邮箱： </w:t>
      </w:r>
      <w:r>
        <w:rPr>
          <w:rFonts w:hint="eastAsia" w:asciiTheme="minorEastAsia" w:hAnsiTheme="minorEastAsia" w:eastAsiaTheme="minorEastAsia" w:cstheme="minorEastAsia"/>
          <w:sz w:val="21"/>
          <w:szCs w:val="21"/>
          <w:lang w:val="en-US" w:eastAsia="zh-CN"/>
        </w:rPr>
        <w:t>dtkjbgzd@163.com</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光标题黑_CNKI">
    <w:altName w:val="黑体"/>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51483"/>
      <w:docPartObj>
        <w:docPartGallery w:val="autotext"/>
      </w:docPartObj>
    </w:sdtPr>
    <w:sdtContent>
      <w:p>
        <w:pPr>
          <w:pStyle w:val="8"/>
          <w:jc w:val="center"/>
        </w:pP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NWViOTRiZDY3MjVhN2RhMzAxY2Q4YTRmZWI1MGQifQ=="/>
  </w:docVars>
  <w:rsids>
    <w:rsidRoot w:val="006D26CC"/>
    <w:rsid w:val="00000D52"/>
    <w:rsid w:val="00006391"/>
    <w:rsid w:val="00011FCF"/>
    <w:rsid w:val="00017D20"/>
    <w:rsid w:val="00047C1D"/>
    <w:rsid w:val="00063B70"/>
    <w:rsid w:val="00064713"/>
    <w:rsid w:val="000A7A5D"/>
    <w:rsid w:val="000F05EF"/>
    <w:rsid w:val="000F11F4"/>
    <w:rsid w:val="000F3812"/>
    <w:rsid w:val="000F3ACF"/>
    <w:rsid w:val="001004D7"/>
    <w:rsid w:val="00127C64"/>
    <w:rsid w:val="00152B34"/>
    <w:rsid w:val="001837F9"/>
    <w:rsid w:val="001C14F8"/>
    <w:rsid w:val="002002E3"/>
    <w:rsid w:val="00271F9F"/>
    <w:rsid w:val="002A3458"/>
    <w:rsid w:val="002A69BB"/>
    <w:rsid w:val="00362598"/>
    <w:rsid w:val="00365D25"/>
    <w:rsid w:val="00366364"/>
    <w:rsid w:val="00390559"/>
    <w:rsid w:val="003B4D0B"/>
    <w:rsid w:val="003D180F"/>
    <w:rsid w:val="003E167F"/>
    <w:rsid w:val="00400724"/>
    <w:rsid w:val="004043C2"/>
    <w:rsid w:val="00451A65"/>
    <w:rsid w:val="004A7F48"/>
    <w:rsid w:val="004B2FD6"/>
    <w:rsid w:val="004B5D7D"/>
    <w:rsid w:val="004C6EEA"/>
    <w:rsid w:val="004F6A9C"/>
    <w:rsid w:val="0050640A"/>
    <w:rsid w:val="005076B0"/>
    <w:rsid w:val="0051414F"/>
    <w:rsid w:val="005424BD"/>
    <w:rsid w:val="00551F92"/>
    <w:rsid w:val="005A3AF1"/>
    <w:rsid w:val="005A51B2"/>
    <w:rsid w:val="005C7801"/>
    <w:rsid w:val="005D4214"/>
    <w:rsid w:val="005F0720"/>
    <w:rsid w:val="005F4C74"/>
    <w:rsid w:val="00640E42"/>
    <w:rsid w:val="00674788"/>
    <w:rsid w:val="006A4BB4"/>
    <w:rsid w:val="006D26CC"/>
    <w:rsid w:val="006E244E"/>
    <w:rsid w:val="007251DC"/>
    <w:rsid w:val="007351BB"/>
    <w:rsid w:val="0074631B"/>
    <w:rsid w:val="00766FA9"/>
    <w:rsid w:val="00784691"/>
    <w:rsid w:val="00791DEA"/>
    <w:rsid w:val="007A3BF1"/>
    <w:rsid w:val="007A491A"/>
    <w:rsid w:val="007A6CA8"/>
    <w:rsid w:val="007B6B21"/>
    <w:rsid w:val="007C6A82"/>
    <w:rsid w:val="0080497C"/>
    <w:rsid w:val="00804AC2"/>
    <w:rsid w:val="008239A3"/>
    <w:rsid w:val="0087521D"/>
    <w:rsid w:val="00886716"/>
    <w:rsid w:val="00894DBD"/>
    <w:rsid w:val="008F3B14"/>
    <w:rsid w:val="0092051C"/>
    <w:rsid w:val="0093710C"/>
    <w:rsid w:val="00957076"/>
    <w:rsid w:val="0095742C"/>
    <w:rsid w:val="00962701"/>
    <w:rsid w:val="009661F5"/>
    <w:rsid w:val="009D098B"/>
    <w:rsid w:val="00A049D7"/>
    <w:rsid w:val="00A14BD1"/>
    <w:rsid w:val="00A25DFD"/>
    <w:rsid w:val="00A37924"/>
    <w:rsid w:val="00A4157D"/>
    <w:rsid w:val="00A41C80"/>
    <w:rsid w:val="00A440B8"/>
    <w:rsid w:val="00A82491"/>
    <w:rsid w:val="00AC29C9"/>
    <w:rsid w:val="00B17517"/>
    <w:rsid w:val="00B53FB9"/>
    <w:rsid w:val="00B56900"/>
    <w:rsid w:val="00B60E59"/>
    <w:rsid w:val="00B7288C"/>
    <w:rsid w:val="00B854EA"/>
    <w:rsid w:val="00BB59F7"/>
    <w:rsid w:val="00BE51F7"/>
    <w:rsid w:val="00C00B96"/>
    <w:rsid w:val="00C07054"/>
    <w:rsid w:val="00C2542A"/>
    <w:rsid w:val="00C42AB7"/>
    <w:rsid w:val="00C823C4"/>
    <w:rsid w:val="00CC29F4"/>
    <w:rsid w:val="00CC617D"/>
    <w:rsid w:val="00CD3532"/>
    <w:rsid w:val="00CF0DC5"/>
    <w:rsid w:val="00D03C05"/>
    <w:rsid w:val="00D33B2D"/>
    <w:rsid w:val="00D42BAD"/>
    <w:rsid w:val="00D72F9D"/>
    <w:rsid w:val="00D85AD5"/>
    <w:rsid w:val="00D958E0"/>
    <w:rsid w:val="00DA3E51"/>
    <w:rsid w:val="00DA64F3"/>
    <w:rsid w:val="00DD2B25"/>
    <w:rsid w:val="00E02207"/>
    <w:rsid w:val="00E06ACE"/>
    <w:rsid w:val="00E07BBB"/>
    <w:rsid w:val="00E2325D"/>
    <w:rsid w:val="00E25176"/>
    <w:rsid w:val="00E30D2B"/>
    <w:rsid w:val="00E32D97"/>
    <w:rsid w:val="00E4692C"/>
    <w:rsid w:val="00E660D1"/>
    <w:rsid w:val="00EB0A53"/>
    <w:rsid w:val="00ED792D"/>
    <w:rsid w:val="00EF58E8"/>
    <w:rsid w:val="00EF7072"/>
    <w:rsid w:val="00F27984"/>
    <w:rsid w:val="00F466E9"/>
    <w:rsid w:val="00F56779"/>
    <w:rsid w:val="00F67E2A"/>
    <w:rsid w:val="00F93F9E"/>
    <w:rsid w:val="00FB6C51"/>
    <w:rsid w:val="00FD453E"/>
    <w:rsid w:val="00FF098C"/>
    <w:rsid w:val="0A423677"/>
    <w:rsid w:val="0B293E2E"/>
    <w:rsid w:val="165213FF"/>
    <w:rsid w:val="16D2283D"/>
    <w:rsid w:val="1AFD3153"/>
    <w:rsid w:val="25486B36"/>
    <w:rsid w:val="2D29093B"/>
    <w:rsid w:val="2F812B67"/>
    <w:rsid w:val="3AE111FF"/>
    <w:rsid w:val="3F4B12B6"/>
    <w:rsid w:val="40305F6E"/>
    <w:rsid w:val="429E4757"/>
    <w:rsid w:val="46316F37"/>
    <w:rsid w:val="465D2C9E"/>
    <w:rsid w:val="4EFE4FC7"/>
    <w:rsid w:val="50D87302"/>
    <w:rsid w:val="533E6975"/>
    <w:rsid w:val="56EC61A7"/>
    <w:rsid w:val="5AC33375"/>
    <w:rsid w:val="5D80101D"/>
    <w:rsid w:val="6DEC7C64"/>
    <w:rsid w:val="74997442"/>
    <w:rsid w:val="7C3A3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Lines="100" w:afterLines="100" w:line="360" w:lineRule="auto"/>
      <w:jc w:val="center"/>
      <w:outlineLvl w:val="0"/>
    </w:pPr>
    <w:rPr>
      <w:rFonts w:eastAsia="华文中宋"/>
      <w:bCs/>
      <w:kern w:val="44"/>
      <w:sz w:val="44"/>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1260"/>
      <w:jc w:val="left"/>
    </w:pPr>
    <w:rPr>
      <w:sz w:val="18"/>
      <w:szCs w:val="18"/>
    </w:rPr>
  </w:style>
  <w:style w:type="paragraph" w:styleId="4">
    <w:name w:val="toc 5"/>
    <w:basedOn w:val="1"/>
    <w:next w:val="1"/>
    <w:unhideWhenUsed/>
    <w:qFormat/>
    <w:uiPriority w:val="39"/>
    <w:pPr>
      <w:ind w:left="840"/>
      <w:jc w:val="left"/>
    </w:pPr>
    <w:rPr>
      <w:sz w:val="18"/>
      <w:szCs w:val="18"/>
    </w:rPr>
  </w:style>
  <w:style w:type="paragraph" w:styleId="5">
    <w:name w:val="toc 3"/>
    <w:basedOn w:val="1"/>
    <w:next w:val="1"/>
    <w:unhideWhenUsed/>
    <w:qFormat/>
    <w:uiPriority w:val="39"/>
    <w:pPr>
      <w:ind w:left="420"/>
      <w:jc w:val="left"/>
    </w:pPr>
    <w:rPr>
      <w:i/>
      <w:iCs/>
      <w:sz w:val="20"/>
      <w:szCs w:val="20"/>
    </w:rPr>
  </w:style>
  <w:style w:type="paragraph" w:styleId="6">
    <w:name w:val="toc 8"/>
    <w:basedOn w:val="1"/>
    <w:next w:val="1"/>
    <w:unhideWhenUsed/>
    <w:qFormat/>
    <w:uiPriority w:val="39"/>
    <w:pPr>
      <w:ind w:left="1470"/>
      <w:jc w:val="left"/>
    </w:pPr>
    <w:rPr>
      <w:sz w:val="18"/>
      <w:szCs w:val="18"/>
    </w:rPr>
  </w:style>
  <w:style w:type="paragraph" w:styleId="7">
    <w:name w:val="Balloon Text"/>
    <w:basedOn w:val="1"/>
    <w:link w:val="22"/>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before="120" w:after="120"/>
      <w:jc w:val="left"/>
    </w:pPr>
    <w:rPr>
      <w:b/>
      <w:bCs/>
      <w:caps/>
      <w:sz w:val="20"/>
      <w:szCs w:val="20"/>
    </w:rPr>
  </w:style>
  <w:style w:type="paragraph" w:styleId="11">
    <w:name w:val="toc 4"/>
    <w:basedOn w:val="1"/>
    <w:next w:val="1"/>
    <w:unhideWhenUsed/>
    <w:qFormat/>
    <w:uiPriority w:val="39"/>
    <w:pPr>
      <w:ind w:left="630"/>
      <w:jc w:val="left"/>
    </w:pPr>
    <w:rPr>
      <w:sz w:val="18"/>
      <w:szCs w:val="18"/>
    </w:rPr>
  </w:style>
  <w:style w:type="paragraph" w:styleId="12">
    <w:name w:val="toc 6"/>
    <w:basedOn w:val="1"/>
    <w:next w:val="1"/>
    <w:unhideWhenUsed/>
    <w:qFormat/>
    <w:uiPriority w:val="39"/>
    <w:pPr>
      <w:ind w:left="1050"/>
      <w:jc w:val="left"/>
    </w:pPr>
    <w:rPr>
      <w:sz w:val="18"/>
      <w:szCs w:val="18"/>
    </w:rPr>
  </w:style>
  <w:style w:type="paragraph" w:styleId="13">
    <w:name w:val="toc 2"/>
    <w:basedOn w:val="1"/>
    <w:next w:val="1"/>
    <w:unhideWhenUsed/>
    <w:qFormat/>
    <w:uiPriority w:val="39"/>
    <w:pPr>
      <w:ind w:left="210"/>
      <w:jc w:val="left"/>
    </w:pPr>
    <w:rPr>
      <w:smallCaps/>
      <w:sz w:val="20"/>
      <w:szCs w:val="20"/>
    </w:rPr>
  </w:style>
  <w:style w:type="paragraph" w:styleId="14">
    <w:name w:val="toc 9"/>
    <w:basedOn w:val="1"/>
    <w:next w:val="1"/>
    <w:unhideWhenUsed/>
    <w:qFormat/>
    <w:uiPriority w:val="39"/>
    <w:pPr>
      <w:ind w:left="1680"/>
      <w:jc w:val="left"/>
    </w:pPr>
    <w:rPr>
      <w:sz w:val="18"/>
      <w:szCs w:val="18"/>
    </w:r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styleId="19">
    <w:name w:val="List Paragraph"/>
    <w:basedOn w:val="1"/>
    <w:qFormat/>
    <w:uiPriority w:val="34"/>
    <w:pPr>
      <w:ind w:firstLine="420" w:firstLineChars="200"/>
    </w:pPr>
  </w:style>
  <w:style w:type="character" w:customStyle="1" w:styleId="20">
    <w:name w:val="页眉 Char"/>
    <w:basedOn w:val="16"/>
    <w:link w:val="9"/>
    <w:semiHidden/>
    <w:qFormat/>
    <w:uiPriority w:val="99"/>
    <w:rPr>
      <w:sz w:val="18"/>
      <w:szCs w:val="18"/>
    </w:rPr>
  </w:style>
  <w:style w:type="character" w:customStyle="1" w:styleId="21">
    <w:name w:val="页脚 Char"/>
    <w:basedOn w:val="16"/>
    <w:link w:val="8"/>
    <w:qFormat/>
    <w:uiPriority w:val="99"/>
    <w:rPr>
      <w:sz w:val="18"/>
      <w:szCs w:val="18"/>
    </w:rPr>
  </w:style>
  <w:style w:type="character" w:customStyle="1" w:styleId="22">
    <w:name w:val="批注框文本 Char"/>
    <w:basedOn w:val="16"/>
    <w:link w:val="7"/>
    <w:semiHidden/>
    <w:uiPriority w:val="99"/>
    <w:rPr>
      <w:sz w:val="18"/>
      <w:szCs w:val="18"/>
    </w:rPr>
  </w:style>
  <w:style w:type="character" w:customStyle="1" w:styleId="23">
    <w:name w:val="标题 1 Char"/>
    <w:basedOn w:val="16"/>
    <w:link w:val="2"/>
    <w:uiPriority w:val="9"/>
    <w:rPr>
      <w:rFonts w:eastAsia="华文中宋"/>
      <w:bCs/>
      <w:kern w:val="44"/>
      <w:sz w:val="44"/>
      <w:szCs w:val="44"/>
    </w:rPr>
  </w:style>
  <w:style w:type="paragraph" w:customStyle="1" w:styleId="24">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5BA1B-46F9-48F9-8273-2E18D0B5206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7384</Words>
  <Characters>7683</Characters>
  <Lines>57</Lines>
  <Paragraphs>16</Paragraphs>
  <TotalTime>7</TotalTime>
  <ScaleCrop>false</ScaleCrop>
  <LinksUpToDate>false</LinksUpToDate>
  <CharactersWithSpaces>7726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2018-03-14T07:53:00Z</dcterms:created>
  <dc:creator>微软用户</dc:creator>
  <cp:lastModifiedBy>0</cp:lastModifiedBy>
  <dcterms:modified xsi:type="dcterms:W3CDTF">2023-02-13T00:49:42Z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6B4DD239240148CB99BE0B846D24A968</vt:lpwstr>
  </property>
</Properties>
</file>